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6"/>
        <w:rPr>
          <w:szCs w:val="16"/>
          <w:lang w:val="en-US"/>
        </w:rPr>
      </w:pPr>
      <w:r>
        <w:rPr>
          <w:szCs w:val="16"/>
          <w:lang w:val="en-US"/>
        </w:rPr>
      </w:r>
      <w:r>
        <w:rPr>
          <w:szCs w:val="16"/>
          <w:lang w:val="en-US"/>
        </w:rPr>
      </w:r>
      <w:r>
        <w:rPr>
          <w:szCs w:val="16"/>
          <w:lang w:val="en-US"/>
        </w:rPr>
      </w:r>
    </w:p>
    <w:p>
      <w:pPr>
        <w:pStyle w:val="936"/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pStyle w:val="936"/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pStyle w:val="936"/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pStyle w:val="936"/>
        <w:tabs>
          <w:tab w:val="left" w:pos="8860" w:leader="none"/>
        </w:tabs>
        <w:rPr>
          <w:szCs w:val="16"/>
        </w:rPr>
      </w:pPr>
      <w:r>
        <w:rPr>
          <w:szCs w:val="16"/>
        </w:rPr>
        <w:tab/>
      </w:r>
      <w:r>
        <w:rPr>
          <w:szCs w:val="16"/>
        </w:rPr>
      </w:r>
      <w:r>
        <w:rPr>
          <w:szCs w:val="16"/>
        </w:rPr>
      </w:r>
    </w:p>
    <w:p>
      <w:pPr>
        <w:pStyle w:val="936"/>
        <w:jc w:val="center"/>
      </w:pPr>
      <w:r/>
      <w:r/>
    </w:p>
    <w:p>
      <w:pPr>
        <w:pStyle w:val="9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распоряжения Правительства Новосибирской области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 проекте изменений в прогнозный план приватизации государственного имущества Новосибирской области на 2026</w:t>
      </w:r>
      <w:r>
        <w:rPr>
          <w:b/>
          <w:sz w:val="28"/>
          <w:szCs w:val="28"/>
        </w:rPr>
        <w:t xml:space="preserve">-2028</w:t>
      </w:r>
      <w:r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36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36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Правительства Новосибирской области «О </w:t>
      </w:r>
      <w:r>
        <w:rPr>
          <w:sz w:val="28"/>
          <w:szCs w:val="28"/>
        </w:rPr>
        <w:t xml:space="preserve">проекте изменений в прогнозный план приватизации государственного имущества Новосибирской области на 2026</w:t>
      </w:r>
      <w:r>
        <w:rPr>
          <w:sz w:val="28"/>
          <w:szCs w:val="28"/>
        </w:rPr>
        <w:t xml:space="preserve">-2028</w:t>
      </w:r>
      <w:r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разработан в соотве</w:t>
      </w:r>
      <w:r>
        <w:rPr>
          <w:sz w:val="28"/>
          <w:szCs w:val="28"/>
        </w:rPr>
        <w:t xml:space="preserve">тствии с Федеральным законом от </w:t>
      </w:r>
      <w:r>
        <w:rPr>
          <w:sz w:val="28"/>
          <w:szCs w:val="28"/>
        </w:rPr>
        <w:t xml:space="preserve">21.12.2001 № 178-ФЗ «О приватизации государственного и муниципального имущества»</w:t>
      </w:r>
      <w:r>
        <w:rPr>
          <w:sz w:val="28"/>
          <w:szCs w:val="28"/>
        </w:rPr>
        <w:t xml:space="preserve"> (далее – Федеральный закон № 178-ФЗ)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Законом Новосибирской области от 20.05.2004 № 181-ОЗ «О приватизации государственного и</w:t>
      </w:r>
      <w:r>
        <w:rPr>
          <w:sz w:val="28"/>
          <w:szCs w:val="28"/>
        </w:rPr>
        <w:t xml:space="preserve">мущества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, постановлением Правительства Новосибирской области от 05.06.2014 № 223-п «Об утверждении Порядка планирования приватизации государственного имущества Новосибирской области»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Прогнозный план приватизации государственного имущества Новосибирской области на 2026</w:t>
      </w:r>
      <w:r>
        <w:rPr>
          <w:sz w:val="28"/>
          <w:szCs w:val="28"/>
        </w:rPr>
        <w:t xml:space="preserve">-2028</w:t>
      </w:r>
      <w:r>
        <w:rPr>
          <w:sz w:val="28"/>
          <w:szCs w:val="28"/>
        </w:rPr>
        <w:t xml:space="preserve"> годы утвержден постановлением Законодательного Собрания Новосибирской области от 25.11.2021 № 211</w:t>
      </w:r>
      <w:r>
        <w:rPr>
          <w:sz w:val="28"/>
          <w:szCs w:val="28"/>
        </w:rPr>
        <w:t xml:space="preserve"> (в редакции постановления Законодательного Собрания Новосибирской области от 25.06.2026 № 152)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п</w:t>
      </w:r>
      <w:r>
        <w:rPr>
          <w:sz w:val="28"/>
          <w:szCs w:val="28"/>
        </w:rPr>
        <w:t xml:space="preserve">роект </w:t>
      </w:r>
      <w:r>
        <w:rPr>
          <w:sz w:val="28"/>
          <w:szCs w:val="28"/>
        </w:rPr>
        <w:t xml:space="preserve">изменений в прогнозный план приватизации государственного имущества Новосибирской области на 2026-2028 годы (далее – Проект)</w:t>
      </w:r>
      <w:r>
        <w:rPr>
          <w:sz w:val="28"/>
          <w:szCs w:val="28"/>
        </w:rPr>
        <w:t xml:space="preserve"> включает в себя предложения по внесению изменений в действующий план в части </w:t>
      </w:r>
      <w:r>
        <w:rPr>
          <w:sz w:val="28"/>
          <w:szCs w:val="28"/>
        </w:rPr>
        <w:t xml:space="preserve">дополнения плана объектами государственного имущества Новосибирской области, приватизация которых возможна в плановом периоде.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13 Порядка </w:t>
      </w:r>
      <w:r>
        <w:rPr>
          <w:sz w:val="28"/>
          <w:szCs w:val="28"/>
        </w:rPr>
        <w:t xml:space="preserve">планирования приватизации государственного имущества Новосибирской области</w:t>
      </w:r>
      <w:r>
        <w:rPr>
          <w:sz w:val="28"/>
          <w:szCs w:val="28"/>
        </w:rPr>
        <w:t xml:space="preserve">, утвержденного </w:t>
      </w:r>
      <w:r>
        <w:rPr>
          <w:sz w:val="28"/>
          <w:szCs w:val="28"/>
        </w:rPr>
        <w:t xml:space="preserve">постановлением Правительства Новосибирской области от 05.06.2014 № 223-п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highlight w:val="none"/>
        </w:rPr>
        <w:t xml:space="preserve">внесение изменений в утвержденный план осуществляется по инициативе департамента, а также с учетом предложений лиц, указанных в пункте 8 Порядка </w:t>
      </w:r>
      <w:r>
        <w:rPr>
          <w:sz w:val="28"/>
          <w:szCs w:val="28"/>
        </w:rPr>
        <w:t xml:space="preserve">планирования приватизации государственного имущества Новосибирской области</w:t>
      </w:r>
      <w:r>
        <w:rPr>
          <w:sz w:val="28"/>
          <w:szCs w:val="28"/>
          <w:highlight w:val="none"/>
        </w:rPr>
        <w:t xml:space="preserve">, поступивших в департамент.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Прогноз</w:t>
      </w:r>
      <w:r>
        <w:rPr>
          <w:sz w:val="28"/>
          <w:szCs w:val="28"/>
          <w:highlight w:val="none"/>
        </w:rPr>
        <w:t xml:space="preserve">ный план приватизации государственного </w:t>
      </w:r>
      <w:r>
        <w:rPr>
          <w:sz w:val="28"/>
          <w:szCs w:val="28"/>
          <w:highlight w:val="none"/>
        </w:rPr>
        <w:t xml:space="preserve">имущества Новосибирской области дополнен имуществом, которое планируется внести в уставный капитал акционерного общества «Технопарк Новосибирского Академгородка», акции которого находятся в государственной собственности Новосибирской области.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36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об унитарных предприятиях Новосибирской области, долях в уставных капиталах обществ с ограниченной ответственностью, находящихся в государственной собственности Новосибирск</w:t>
      </w:r>
      <w:r>
        <w:rPr>
          <w:sz w:val="28"/>
          <w:szCs w:val="28"/>
        </w:rPr>
        <w:t xml:space="preserve">ой области, об акционерных обществах и обществах с ограниченной ответственностью, акции, доли в уставных капиталах которых подлежат внесению в уставный капитал иных акционерных обществ в соответствии с решением областных исполнительных органов государствен</w:t>
      </w:r>
      <w:r>
        <w:rPr>
          <w:sz w:val="28"/>
          <w:szCs w:val="28"/>
        </w:rPr>
        <w:t xml:space="preserve">ной власти Новосибирской области, осуществляющих права акционера (участника) от имени Новосибирской области в хозяйственных обществах, акции (доли) которых находятся в государственной собственности Новосибирской области в Проекте отсутствуют, так как в 202</w:t>
      </w:r>
      <w:r>
        <w:rPr>
          <w:sz w:val="28"/>
          <w:szCs w:val="28"/>
        </w:rPr>
        <w:t xml:space="preserve">6-202</w:t>
      </w:r>
      <w:r>
        <w:rPr>
          <w:sz w:val="28"/>
          <w:szCs w:val="28"/>
        </w:rPr>
        <w:t xml:space="preserve">8 годах их приватизация не запланирована.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Право государственной собственности Новосибирской области на объекты недвижимости и земельный участок, включённые в Проект прогнозного плана, зар</w:t>
      </w:r>
      <w:r>
        <w:rPr>
          <w:sz w:val="28"/>
          <w:szCs w:val="28"/>
          <w:highlight w:val="white"/>
        </w:rPr>
        <w:t xml:space="preserve">егистрировано в установленном законодательством порядке.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36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Планируемый способ приватизации указанного в Проекте прогнозного плана имущества будет определён в соответствии с </w:t>
      </w:r>
      <w:r>
        <w:rPr>
          <w:sz w:val="28"/>
          <w:szCs w:val="28"/>
        </w:rPr>
        <w:t xml:space="preserve">Законом Новосибирской области от 20.05.2004 № 181-ОЗ «О приватизации государственного имущества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</w:t>
      </w:r>
      <w:r>
        <w:rPr>
          <w:sz w:val="28"/>
          <w:szCs w:val="28"/>
        </w:rPr>
        <w:t xml:space="preserve">ьей 7.1 Закона Новосибирской области от 25.12.2006 № 80-ОЗ «О нормативных правовых актах Новосибирской области», разработанный Проект распоряжения Правительства Новосибирской области не требует проведения оценки регулирующего воздействия, поскольку проект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 Правительства Новосибирской области не затрагивает вопросы осуществления предпринимательской и инвестиционной</w:t>
      </w:r>
      <w:r>
        <w:rPr>
          <w:sz w:val="28"/>
          <w:szCs w:val="28"/>
        </w:rPr>
        <w:t xml:space="preserve"> деятельности, не касается установления, изменения или отмены ранее установленной ответственности за нарушение нормативных правовых актов субъектов Российской Федерации, затрагивающих вопросы осуществления предпринимательской и инвестиционной деятельности.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center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jc w:val="both"/>
        <w:tabs>
          <w:tab w:val="center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jc w:val="both"/>
        <w:tabs>
          <w:tab w:val="center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6"/>
        <w:jc w:val="both"/>
        <w:tabs>
          <w:tab w:val="center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Руководитель департамента                                                             Р.Г. Шилохвостов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tabs>
          <w:tab w:val="center" w:pos="9072" w:leader="none"/>
        </w:tabs>
        <w:rPr>
          <w:color w:val="f2f2f2" w:themeColor="background1" w:themeShade="F2"/>
        </w:rPr>
      </w:pPr>
      <w:r>
        <w:rPr>
          <w:color w:val="f2f2f2" w:themeColor="background1" w:themeShade="F2"/>
        </w:rPr>
        <w:t xml:space="preserve">         </w:t>
      </w:r>
      <w:r>
        <w:rPr>
          <w:color w:val="f2f2f2" w:themeColor="background1" w:themeShade="F2"/>
          <w:sz w:val="28"/>
          <w:szCs w:val="28"/>
          <w:highlight w:val="white"/>
        </w:rPr>
        <w:t xml:space="preserve"> </w:t>
      </w:r>
      <w:r>
        <w:rPr>
          <w:color w:val="f2f2f2" w:themeColor="background1" w:themeShade="F2"/>
          <w:sz w:val="28"/>
          <w:szCs w:val="28"/>
          <w:highlight w:val="white"/>
        </w:rPr>
        <w:t xml:space="preserve">[МЕСТО ДЛЯ ПОДПИСИ]</w:t>
      </w:r>
      <w:r>
        <w:rPr>
          <w:color w:val="f2f2f2" w:themeColor="background1" w:themeShade="F2"/>
        </w:rPr>
      </w:r>
      <w:r>
        <w:rPr>
          <w:color w:val="f2f2f2" w:themeColor="background1" w:themeShade="F2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pStyle w:val="936"/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Бородина Ася Александровна</w:t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</w:rPr>
      </w:pPr>
      <w:r>
        <w:rPr>
          <w:sz w:val="18"/>
          <w:szCs w:val="18"/>
          <w:highlight w:val="none"/>
        </w:rPr>
        <w:t xml:space="preserve">238-60-52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headerReference w:type="first" r:id="rId9"/>
      <w:footnotePr/>
      <w:endnotePr/>
      <w:type w:val="nextPage"/>
      <w:pgSz w:w="11907" w:h="16840" w:orient="portrait"/>
      <w:pgMar w:top="-1134" w:right="567" w:bottom="993" w:left="1418" w:header="709" w:footer="567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center"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46219" cy="647558"/>
              <wp:effectExtent l="0" t="0" r="0" b="0"/>
              <wp:docPr id="1" name="_x0000_i102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/>
                    </pic:blipFill>
                    <pic:spPr bwMode="auto">
                      <a:xfrm>
                        <a:off x="0" y="0"/>
                        <a:ext cx="546219" cy="6475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43.01pt;height:50.99pt;mso-wrap-distance-left:0.00pt;mso-wrap-distance-top:0.00pt;mso-wrap-distance-right:0.00pt;mso-wrap-distance-bottom:0.00pt;" stroked="f">
              <v:path textboxrect="0,0,0,0"/>
              <v:imagedata r:id="rId1" o:title=""/>
            </v:shape>
          </w:pict>
        </mc:Fallback>
      </mc:AlternateContent>
    </w:r>
    <w:r/>
  </w:p>
  <w:p>
    <w:pPr>
      <w:pStyle w:val="936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  <w:p>
    <w:pPr>
      <w:pStyle w:val="952"/>
    </w:pPr>
    <w:r>
      <w:t xml:space="preserve">ДЕПАРТАМЕНТ ИМУЩЕСТВА</w:t>
    </w:r>
    <w:r/>
  </w:p>
  <w:p>
    <w:pPr>
      <w:pStyle w:val="950"/>
      <w:rPr>
        <w:sz w:val="28"/>
        <w:szCs w:val="28"/>
      </w:rPr>
    </w:pPr>
    <w:r>
      <w:rPr>
        <w:sz w:val="28"/>
        <w:szCs w:val="28"/>
      </w:rPr>
      <w:t xml:space="preserve"> И ЗЕМЕЛЬНЫХ ОТНОШЕНИЙ</w:t>
    </w:r>
    <w:r>
      <w:t xml:space="preserve"> </w:t>
    </w:r>
    <w:r>
      <w:rPr>
        <w:sz w:val="28"/>
        <w:szCs w:val="28"/>
      </w:rPr>
      <w:t xml:space="preserve">НОВОСИБИРСКОЙ ОБЛАСТИ</w: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<wp:simplePos x="0" y="0"/>
              <wp:positionH relativeFrom="column">
                <wp:posOffset>4631690</wp:posOffset>
              </wp:positionH>
              <wp:positionV relativeFrom="paragraph">
                <wp:posOffset>152400</wp:posOffset>
              </wp:positionV>
              <wp:extent cx="1371600" cy="228600"/>
              <wp:effectExtent l="0" t="0" r="0" b="0"/>
              <wp:wrapNone/>
              <wp:docPr id="2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36"/>
                            <w:jc w:val="center"/>
                          </w:pPr>
                          <w:r/>
                          <w:bookmarkStart w:id="0" w:name="docout_numb"/>
                          <w:r/>
                          <w:bookmarkEnd w:id="0"/>
                          <w:r/>
                          <w:r/>
                        </w:p>
                        <w:p>
                          <w:pPr>
                            <w:pStyle w:val="936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8241;o:allowoverlap:true;o:allowincell:true;mso-position-horizontal-relative:text;margin-left:364.70pt;mso-position-horizontal:absolute;mso-position-vertical-relative:text;margin-top:12.00pt;mso-position-vertical:absolute;width:108.00pt;height:18.0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936"/>
                      <w:jc w:val="center"/>
                    </w:pPr>
                    <w:r/>
                    <w:bookmarkStart w:id="0" w:name="docout_numb"/>
                    <w:r/>
                    <w:bookmarkEnd w:id="0"/>
                    <w:r/>
                    <w:r/>
                  </w:p>
                  <w:p>
                    <w:pPr>
                      <w:pStyle w:val="93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34925</wp:posOffset>
              </wp:positionH>
              <wp:positionV relativeFrom="paragraph">
                <wp:posOffset>152400</wp:posOffset>
              </wp:positionV>
              <wp:extent cx="1600200" cy="228600"/>
              <wp:effectExtent l="0" t="0" r="0" b="0"/>
              <wp:wrapNone/>
              <wp:docPr id="3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36"/>
                            <w:jc w:val="center"/>
                          </w:pPr>
                          <w:r/>
                          <w:r/>
                        </w:p>
                        <w:p>
                          <w:pPr>
                            <w:pStyle w:val="936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524288;o:allowoverlap:true;o:allowincell:true;mso-position-horizontal-relative:text;margin-left:2.75pt;mso-position-horizontal:absolute;mso-position-vertical-relative:text;margin-top:12.00pt;mso-position-vertical:absolute;width:126.00pt;height:18.0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936"/>
                      <w:jc w:val="center"/>
                    </w:pPr>
                    <w:r/>
                    <w:r/>
                  </w:p>
                  <w:p>
                    <w:pPr>
                      <w:pStyle w:val="93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sz w:val="28"/>
        <w:szCs w:val="28"/>
      </w:rPr>
    </w:r>
    <w:r>
      <w:rPr>
        <w:sz w:val="28"/>
        <w:szCs w:val="28"/>
      </w:rPr>
    </w:r>
  </w:p>
  <w:p>
    <w:pPr>
      <w:pStyle w:val="94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8">
    <w:name w:val="Heading 1"/>
    <w:basedOn w:val="936"/>
    <w:next w:val="936"/>
    <w:link w:val="7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9">
    <w:name w:val="Heading 1 Char"/>
    <w:link w:val="758"/>
    <w:uiPriority w:val="9"/>
    <w:rPr>
      <w:rFonts w:ascii="Arial" w:hAnsi="Arial" w:eastAsia="Arial" w:cs="Arial"/>
      <w:sz w:val="40"/>
      <w:szCs w:val="40"/>
    </w:rPr>
  </w:style>
  <w:style w:type="paragraph" w:styleId="760">
    <w:name w:val="Heading 2"/>
    <w:basedOn w:val="936"/>
    <w:next w:val="936"/>
    <w:link w:val="7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1">
    <w:name w:val="Heading 2 Char"/>
    <w:link w:val="760"/>
    <w:uiPriority w:val="9"/>
    <w:rPr>
      <w:rFonts w:ascii="Arial" w:hAnsi="Arial" w:eastAsia="Arial" w:cs="Arial"/>
      <w:sz w:val="34"/>
    </w:rPr>
  </w:style>
  <w:style w:type="paragraph" w:styleId="762">
    <w:name w:val="Heading 3"/>
    <w:basedOn w:val="936"/>
    <w:next w:val="936"/>
    <w:link w:val="7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3">
    <w:name w:val="Heading 3 Char"/>
    <w:link w:val="762"/>
    <w:uiPriority w:val="9"/>
    <w:rPr>
      <w:rFonts w:ascii="Arial" w:hAnsi="Arial" w:eastAsia="Arial" w:cs="Arial"/>
      <w:sz w:val="30"/>
      <w:szCs w:val="30"/>
    </w:rPr>
  </w:style>
  <w:style w:type="paragraph" w:styleId="764">
    <w:name w:val="Heading 4"/>
    <w:basedOn w:val="936"/>
    <w:next w:val="936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5">
    <w:name w:val="Heading 4 Char"/>
    <w:link w:val="764"/>
    <w:uiPriority w:val="9"/>
    <w:rPr>
      <w:rFonts w:ascii="Arial" w:hAnsi="Arial" w:eastAsia="Arial" w:cs="Arial"/>
      <w:b/>
      <w:bCs/>
      <w:sz w:val="26"/>
      <w:szCs w:val="26"/>
    </w:rPr>
  </w:style>
  <w:style w:type="paragraph" w:styleId="766">
    <w:name w:val="Heading 5"/>
    <w:basedOn w:val="936"/>
    <w:next w:val="936"/>
    <w:link w:val="7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7">
    <w:name w:val="Heading 5 Char"/>
    <w:link w:val="766"/>
    <w:uiPriority w:val="9"/>
    <w:rPr>
      <w:rFonts w:ascii="Arial" w:hAnsi="Arial" w:eastAsia="Arial" w:cs="Arial"/>
      <w:b/>
      <w:bCs/>
      <w:sz w:val="24"/>
      <w:szCs w:val="24"/>
    </w:rPr>
  </w:style>
  <w:style w:type="paragraph" w:styleId="768">
    <w:name w:val="Heading 6"/>
    <w:basedOn w:val="936"/>
    <w:next w:val="936"/>
    <w:link w:val="7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9">
    <w:name w:val="Heading 6 Char"/>
    <w:link w:val="768"/>
    <w:uiPriority w:val="9"/>
    <w:rPr>
      <w:rFonts w:ascii="Arial" w:hAnsi="Arial" w:eastAsia="Arial" w:cs="Arial"/>
      <w:b/>
      <w:bCs/>
      <w:sz w:val="22"/>
      <w:szCs w:val="22"/>
    </w:rPr>
  </w:style>
  <w:style w:type="paragraph" w:styleId="770">
    <w:name w:val="Heading 7"/>
    <w:basedOn w:val="936"/>
    <w:next w:val="936"/>
    <w:link w:val="7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1">
    <w:name w:val="Heading 7 Char"/>
    <w:link w:val="7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2">
    <w:name w:val="Heading 8"/>
    <w:basedOn w:val="936"/>
    <w:next w:val="936"/>
    <w:link w:val="7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3">
    <w:name w:val="Heading 8 Char"/>
    <w:link w:val="772"/>
    <w:uiPriority w:val="9"/>
    <w:rPr>
      <w:rFonts w:ascii="Arial" w:hAnsi="Arial" w:eastAsia="Arial" w:cs="Arial"/>
      <w:i/>
      <w:iCs/>
      <w:sz w:val="22"/>
      <w:szCs w:val="22"/>
    </w:rPr>
  </w:style>
  <w:style w:type="paragraph" w:styleId="774">
    <w:name w:val="Heading 9"/>
    <w:basedOn w:val="936"/>
    <w:next w:val="936"/>
    <w:link w:val="7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5">
    <w:name w:val="Heading 9 Char"/>
    <w:link w:val="774"/>
    <w:uiPriority w:val="9"/>
    <w:rPr>
      <w:rFonts w:ascii="Arial" w:hAnsi="Arial" w:eastAsia="Arial" w:cs="Arial"/>
      <w:i/>
      <w:iCs/>
      <w:sz w:val="21"/>
      <w:szCs w:val="21"/>
    </w:rPr>
  </w:style>
  <w:style w:type="paragraph" w:styleId="776">
    <w:name w:val="List Paragraph"/>
    <w:basedOn w:val="936"/>
    <w:uiPriority w:val="34"/>
    <w:qFormat/>
    <w:pPr>
      <w:contextualSpacing/>
      <w:ind w:left="720"/>
    </w:pPr>
  </w:style>
  <w:style w:type="paragraph" w:styleId="777">
    <w:name w:val="No Spacing"/>
    <w:uiPriority w:val="1"/>
    <w:qFormat/>
    <w:pPr>
      <w:spacing w:before="0" w:after="0" w:line="240" w:lineRule="auto"/>
    </w:pPr>
  </w:style>
  <w:style w:type="paragraph" w:styleId="778">
    <w:name w:val="Title"/>
    <w:basedOn w:val="936"/>
    <w:next w:val="936"/>
    <w:link w:val="7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9">
    <w:name w:val="Title Char"/>
    <w:link w:val="778"/>
    <w:uiPriority w:val="10"/>
    <w:rPr>
      <w:sz w:val="48"/>
      <w:szCs w:val="48"/>
    </w:rPr>
  </w:style>
  <w:style w:type="paragraph" w:styleId="780">
    <w:name w:val="Subtitle"/>
    <w:basedOn w:val="936"/>
    <w:next w:val="936"/>
    <w:link w:val="781"/>
    <w:uiPriority w:val="11"/>
    <w:qFormat/>
    <w:pPr>
      <w:spacing w:before="200" w:after="200"/>
    </w:pPr>
    <w:rPr>
      <w:sz w:val="24"/>
      <w:szCs w:val="24"/>
    </w:rPr>
  </w:style>
  <w:style w:type="character" w:styleId="781">
    <w:name w:val="Subtitle Char"/>
    <w:link w:val="780"/>
    <w:uiPriority w:val="11"/>
    <w:rPr>
      <w:sz w:val="24"/>
      <w:szCs w:val="24"/>
    </w:rPr>
  </w:style>
  <w:style w:type="paragraph" w:styleId="782">
    <w:name w:val="Quote"/>
    <w:basedOn w:val="936"/>
    <w:next w:val="936"/>
    <w:link w:val="783"/>
    <w:uiPriority w:val="29"/>
    <w:qFormat/>
    <w:pPr>
      <w:ind w:left="720" w:right="720"/>
    </w:pPr>
    <w:rPr>
      <w:i/>
    </w:rPr>
  </w:style>
  <w:style w:type="character" w:styleId="783">
    <w:name w:val="Quote Char"/>
    <w:link w:val="782"/>
    <w:uiPriority w:val="29"/>
    <w:rPr>
      <w:i/>
    </w:rPr>
  </w:style>
  <w:style w:type="paragraph" w:styleId="784">
    <w:name w:val="Intense Quote"/>
    <w:basedOn w:val="936"/>
    <w:next w:val="936"/>
    <w:link w:val="7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5">
    <w:name w:val="Intense Quote Char"/>
    <w:link w:val="784"/>
    <w:uiPriority w:val="30"/>
    <w:rPr>
      <w:i/>
    </w:rPr>
  </w:style>
  <w:style w:type="paragraph" w:styleId="786">
    <w:name w:val="Header"/>
    <w:basedOn w:val="936"/>
    <w:link w:val="7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7">
    <w:name w:val="Header Char"/>
    <w:link w:val="786"/>
    <w:uiPriority w:val="99"/>
  </w:style>
  <w:style w:type="paragraph" w:styleId="788">
    <w:name w:val="Footer"/>
    <w:basedOn w:val="936"/>
    <w:link w:val="7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9">
    <w:name w:val="Footer Char"/>
    <w:link w:val="788"/>
    <w:uiPriority w:val="99"/>
  </w:style>
  <w:style w:type="paragraph" w:styleId="790">
    <w:name w:val="Caption"/>
    <w:basedOn w:val="936"/>
    <w:next w:val="936"/>
    <w:link w:val="7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1">
    <w:name w:val="Caption Char"/>
    <w:basedOn w:val="790"/>
    <w:link w:val="788"/>
    <w:uiPriority w:val="99"/>
  </w:style>
  <w:style w:type="table" w:styleId="79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8">
    <w:name w:val="Hyperlink"/>
    <w:uiPriority w:val="99"/>
    <w:unhideWhenUsed/>
    <w:rPr>
      <w:color w:val="0000ff" w:themeColor="hyperlink"/>
      <w:u w:val="single"/>
    </w:rPr>
  </w:style>
  <w:style w:type="paragraph" w:styleId="919">
    <w:name w:val="footnote text"/>
    <w:basedOn w:val="936"/>
    <w:link w:val="920"/>
    <w:uiPriority w:val="99"/>
    <w:semiHidden/>
    <w:unhideWhenUsed/>
    <w:pPr>
      <w:spacing w:after="40" w:line="240" w:lineRule="auto"/>
    </w:pPr>
    <w:rPr>
      <w:sz w:val="18"/>
    </w:rPr>
  </w:style>
  <w:style w:type="character" w:styleId="920">
    <w:name w:val="Footnote Text Char"/>
    <w:link w:val="919"/>
    <w:uiPriority w:val="99"/>
    <w:rPr>
      <w:sz w:val="18"/>
    </w:rPr>
  </w:style>
  <w:style w:type="character" w:styleId="921">
    <w:name w:val="footnote reference"/>
    <w:uiPriority w:val="99"/>
    <w:unhideWhenUsed/>
    <w:rPr>
      <w:vertAlign w:val="superscript"/>
    </w:rPr>
  </w:style>
  <w:style w:type="paragraph" w:styleId="922">
    <w:name w:val="endnote text"/>
    <w:basedOn w:val="936"/>
    <w:link w:val="923"/>
    <w:uiPriority w:val="99"/>
    <w:semiHidden/>
    <w:unhideWhenUsed/>
    <w:pPr>
      <w:spacing w:after="0" w:line="240" w:lineRule="auto"/>
    </w:pPr>
    <w:rPr>
      <w:sz w:val="20"/>
    </w:rPr>
  </w:style>
  <w:style w:type="character" w:styleId="923">
    <w:name w:val="Endnote Text Char"/>
    <w:link w:val="922"/>
    <w:uiPriority w:val="99"/>
    <w:rPr>
      <w:sz w:val="20"/>
    </w:rPr>
  </w:style>
  <w:style w:type="character" w:styleId="924">
    <w:name w:val="endnote reference"/>
    <w:uiPriority w:val="99"/>
    <w:semiHidden/>
    <w:unhideWhenUsed/>
    <w:rPr>
      <w:vertAlign w:val="superscript"/>
    </w:rPr>
  </w:style>
  <w:style w:type="paragraph" w:styleId="925">
    <w:name w:val="toc 1"/>
    <w:basedOn w:val="936"/>
    <w:next w:val="936"/>
    <w:uiPriority w:val="39"/>
    <w:unhideWhenUsed/>
    <w:pPr>
      <w:ind w:left="0" w:right="0" w:firstLine="0"/>
      <w:spacing w:after="57"/>
    </w:pPr>
  </w:style>
  <w:style w:type="paragraph" w:styleId="926">
    <w:name w:val="toc 2"/>
    <w:basedOn w:val="936"/>
    <w:next w:val="936"/>
    <w:uiPriority w:val="39"/>
    <w:unhideWhenUsed/>
    <w:pPr>
      <w:ind w:left="283" w:right="0" w:firstLine="0"/>
      <w:spacing w:after="57"/>
    </w:pPr>
  </w:style>
  <w:style w:type="paragraph" w:styleId="927">
    <w:name w:val="toc 3"/>
    <w:basedOn w:val="936"/>
    <w:next w:val="936"/>
    <w:uiPriority w:val="39"/>
    <w:unhideWhenUsed/>
    <w:pPr>
      <w:ind w:left="567" w:right="0" w:firstLine="0"/>
      <w:spacing w:after="57"/>
    </w:pPr>
  </w:style>
  <w:style w:type="paragraph" w:styleId="928">
    <w:name w:val="toc 4"/>
    <w:basedOn w:val="936"/>
    <w:next w:val="936"/>
    <w:uiPriority w:val="39"/>
    <w:unhideWhenUsed/>
    <w:pPr>
      <w:ind w:left="850" w:right="0" w:firstLine="0"/>
      <w:spacing w:after="57"/>
    </w:pPr>
  </w:style>
  <w:style w:type="paragraph" w:styleId="929">
    <w:name w:val="toc 5"/>
    <w:basedOn w:val="936"/>
    <w:next w:val="936"/>
    <w:uiPriority w:val="39"/>
    <w:unhideWhenUsed/>
    <w:pPr>
      <w:ind w:left="1134" w:right="0" w:firstLine="0"/>
      <w:spacing w:after="57"/>
    </w:pPr>
  </w:style>
  <w:style w:type="paragraph" w:styleId="930">
    <w:name w:val="toc 6"/>
    <w:basedOn w:val="936"/>
    <w:next w:val="936"/>
    <w:uiPriority w:val="39"/>
    <w:unhideWhenUsed/>
    <w:pPr>
      <w:ind w:left="1417" w:right="0" w:firstLine="0"/>
      <w:spacing w:after="57"/>
    </w:pPr>
  </w:style>
  <w:style w:type="paragraph" w:styleId="931">
    <w:name w:val="toc 7"/>
    <w:basedOn w:val="936"/>
    <w:next w:val="936"/>
    <w:uiPriority w:val="39"/>
    <w:unhideWhenUsed/>
    <w:pPr>
      <w:ind w:left="1701" w:right="0" w:firstLine="0"/>
      <w:spacing w:after="57"/>
    </w:pPr>
  </w:style>
  <w:style w:type="paragraph" w:styleId="932">
    <w:name w:val="toc 8"/>
    <w:basedOn w:val="936"/>
    <w:next w:val="936"/>
    <w:uiPriority w:val="39"/>
    <w:unhideWhenUsed/>
    <w:pPr>
      <w:ind w:left="1984" w:right="0" w:firstLine="0"/>
      <w:spacing w:after="57"/>
    </w:pPr>
  </w:style>
  <w:style w:type="paragraph" w:styleId="933">
    <w:name w:val="toc 9"/>
    <w:basedOn w:val="936"/>
    <w:next w:val="936"/>
    <w:uiPriority w:val="39"/>
    <w:unhideWhenUsed/>
    <w:pPr>
      <w:ind w:left="2268" w:right="0" w:firstLine="0"/>
      <w:spacing w:after="57"/>
    </w:pPr>
  </w:style>
  <w:style w:type="paragraph" w:styleId="934">
    <w:name w:val="TOC Heading"/>
    <w:uiPriority w:val="39"/>
    <w:unhideWhenUsed/>
  </w:style>
  <w:style w:type="paragraph" w:styleId="935">
    <w:name w:val="table of figures"/>
    <w:basedOn w:val="936"/>
    <w:next w:val="936"/>
    <w:uiPriority w:val="99"/>
    <w:unhideWhenUsed/>
    <w:pPr>
      <w:spacing w:after="0" w:afterAutospacing="0"/>
    </w:pPr>
  </w:style>
  <w:style w:type="paragraph" w:styleId="936" w:default="1">
    <w:name w:val="Normal"/>
    <w:next w:val="936"/>
    <w:link w:val="936"/>
    <w:qFormat/>
    <w:rPr>
      <w:sz w:val="28"/>
      <w:szCs w:val="28"/>
      <w:lang w:val="ru-RU" w:eastAsia="ru-RU" w:bidi="ar-SA"/>
    </w:rPr>
  </w:style>
  <w:style w:type="character" w:styleId="937">
    <w:name w:val="Основной шрифт абзаца"/>
    <w:next w:val="937"/>
    <w:link w:val="936"/>
    <w:semiHidden/>
  </w:style>
  <w:style w:type="table" w:styleId="938">
    <w:name w:val="Обычная таблица"/>
    <w:next w:val="938"/>
    <w:link w:val="936"/>
    <w:semiHidden/>
    <w:tblPr/>
  </w:style>
  <w:style w:type="numbering" w:styleId="939">
    <w:name w:val="Нет списка"/>
    <w:next w:val="939"/>
    <w:link w:val="936"/>
    <w:semiHidden/>
  </w:style>
  <w:style w:type="paragraph" w:styleId="940">
    <w:name w:val="заголовок 4"/>
    <w:basedOn w:val="936"/>
    <w:next w:val="936"/>
    <w:link w:val="936"/>
    <w:pPr>
      <w:jc w:val="center"/>
      <w:keepNext/>
    </w:pPr>
    <w:rPr>
      <w:b/>
      <w:bCs/>
    </w:rPr>
  </w:style>
  <w:style w:type="paragraph" w:styleId="941">
    <w:name w:val="заголовок 5"/>
    <w:basedOn w:val="936"/>
    <w:next w:val="936"/>
    <w:link w:val="936"/>
    <w:pPr>
      <w:jc w:val="center"/>
      <w:keepNext/>
    </w:pPr>
    <w:rPr>
      <w:sz w:val="24"/>
      <w:szCs w:val="24"/>
    </w:rPr>
  </w:style>
  <w:style w:type="paragraph" w:styleId="942">
    <w:name w:val="заголовок 6"/>
    <w:basedOn w:val="936"/>
    <w:next w:val="936"/>
    <w:link w:val="936"/>
    <w:pPr>
      <w:jc w:val="center"/>
      <w:keepNext/>
    </w:pPr>
  </w:style>
  <w:style w:type="character" w:styleId="943">
    <w:name w:val="Основной шрифт"/>
    <w:next w:val="943"/>
    <w:link w:val="936"/>
  </w:style>
  <w:style w:type="paragraph" w:styleId="944">
    <w:name w:val="Верхний колонтитул"/>
    <w:basedOn w:val="936"/>
    <w:next w:val="944"/>
    <w:link w:val="936"/>
    <w:pPr>
      <w:tabs>
        <w:tab w:val="center" w:pos="4153" w:leader="none"/>
        <w:tab w:val="right" w:pos="8306" w:leader="none"/>
      </w:tabs>
    </w:pPr>
  </w:style>
  <w:style w:type="paragraph" w:styleId="945">
    <w:name w:val="Письмо главы"/>
    <w:basedOn w:val="936"/>
    <w:next w:val="945"/>
    <w:link w:val="936"/>
    <w:pPr>
      <w:ind w:firstLine="709"/>
      <w:jc w:val="both"/>
    </w:pPr>
  </w:style>
  <w:style w:type="paragraph" w:styleId="946">
    <w:name w:val="Нижний колонтитул"/>
    <w:basedOn w:val="936"/>
    <w:next w:val="946"/>
    <w:link w:val="958"/>
    <w:pPr>
      <w:tabs>
        <w:tab w:val="center" w:pos="4153" w:leader="none"/>
        <w:tab w:val="right" w:pos="8306" w:leader="none"/>
      </w:tabs>
    </w:pPr>
  </w:style>
  <w:style w:type="character" w:styleId="947">
    <w:name w:val="номер страницы"/>
    <w:basedOn w:val="943"/>
    <w:next w:val="947"/>
    <w:link w:val="936"/>
  </w:style>
  <w:style w:type="paragraph" w:styleId="948">
    <w:name w:val="Основной текст"/>
    <w:basedOn w:val="936"/>
    <w:next w:val="948"/>
    <w:link w:val="936"/>
    <w:pPr>
      <w:jc w:val="both"/>
    </w:pPr>
    <w:rPr>
      <w:sz w:val="24"/>
      <w:szCs w:val="24"/>
    </w:rPr>
  </w:style>
  <w:style w:type="character" w:styleId="949">
    <w:name w:val="Гиперссылка"/>
    <w:next w:val="949"/>
    <w:link w:val="936"/>
    <w:rPr>
      <w:color w:val="0000ff"/>
      <w:u w:val="single"/>
    </w:rPr>
  </w:style>
  <w:style w:type="paragraph" w:styleId="950">
    <w:name w:val="Основной текст с отступом"/>
    <w:basedOn w:val="936"/>
    <w:next w:val="950"/>
    <w:link w:val="936"/>
    <w:pPr>
      <w:jc w:val="center"/>
    </w:pPr>
    <w:rPr>
      <w:b/>
      <w:bCs/>
      <w:sz w:val="26"/>
      <w:szCs w:val="26"/>
    </w:rPr>
  </w:style>
  <w:style w:type="paragraph" w:styleId="951">
    <w:name w:val="Основной текст с отступом 2"/>
    <w:basedOn w:val="936"/>
    <w:next w:val="951"/>
    <w:link w:val="936"/>
    <w:pPr>
      <w:ind w:left="360"/>
      <w:jc w:val="both"/>
    </w:pPr>
  </w:style>
  <w:style w:type="paragraph" w:styleId="952">
    <w:name w:val="Основной текст 3"/>
    <w:basedOn w:val="936"/>
    <w:next w:val="952"/>
    <w:link w:val="936"/>
    <w:pPr>
      <w:jc w:val="center"/>
    </w:pPr>
    <w:rPr>
      <w:b/>
      <w:bCs/>
    </w:rPr>
  </w:style>
  <w:style w:type="paragraph" w:styleId="953">
    <w:name w:val="Основной текст с отступом 3"/>
    <w:basedOn w:val="936"/>
    <w:next w:val="953"/>
    <w:link w:val="936"/>
    <w:pPr>
      <w:ind w:left="-142" w:firstLine="851"/>
      <w:jc w:val="both"/>
    </w:pPr>
  </w:style>
  <w:style w:type="character" w:styleId="954">
    <w:name w:val="Просмотренная гиперссылка"/>
    <w:next w:val="954"/>
    <w:link w:val="936"/>
    <w:rPr>
      <w:color w:val="800080"/>
      <w:u w:val="single"/>
    </w:rPr>
  </w:style>
  <w:style w:type="paragraph" w:styleId="955">
    <w:name w:val="Обычный (веб)"/>
    <w:basedOn w:val="936"/>
    <w:next w:val="955"/>
    <w:link w:val="936"/>
    <w:pPr>
      <w:spacing w:before="100" w:beforeAutospacing="1" w:after="100" w:afterAutospacing="1"/>
    </w:pPr>
    <w:rPr>
      <w:sz w:val="24"/>
      <w:szCs w:val="24"/>
    </w:rPr>
  </w:style>
  <w:style w:type="paragraph" w:styleId="956">
    <w:name w:val="Текст выноски"/>
    <w:basedOn w:val="936"/>
    <w:next w:val="956"/>
    <w:link w:val="957"/>
    <w:rPr>
      <w:rFonts w:ascii="Tahoma" w:hAnsi="Tahoma" w:cs="Tahoma"/>
      <w:sz w:val="16"/>
      <w:szCs w:val="16"/>
    </w:rPr>
  </w:style>
  <w:style w:type="character" w:styleId="957">
    <w:name w:val="Текст выноски Знак"/>
    <w:next w:val="957"/>
    <w:link w:val="956"/>
    <w:rPr>
      <w:rFonts w:ascii="Tahoma" w:hAnsi="Tahoma" w:cs="Tahoma"/>
      <w:sz w:val="16"/>
      <w:szCs w:val="16"/>
    </w:rPr>
  </w:style>
  <w:style w:type="character" w:styleId="958">
    <w:name w:val="Нижний колонтитул Знак"/>
    <w:next w:val="958"/>
    <w:link w:val="946"/>
    <w:rPr>
      <w:sz w:val="28"/>
      <w:szCs w:val="28"/>
    </w:rPr>
  </w:style>
  <w:style w:type="paragraph" w:styleId="959">
    <w:name w:val="Знак"/>
    <w:basedOn w:val="936"/>
    <w:next w:val="959"/>
    <w:link w:val="9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960" w:default="1">
    <w:name w:val="Default Paragraph Font"/>
    <w:uiPriority w:val="1"/>
    <w:semiHidden/>
    <w:unhideWhenUsed/>
  </w:style>
  <w:style w:type="numbering" w:styleId="961" w:default="1">
    <w:name w:val="No List"/>
    <w:uiPriority w:val="99"/>
    <w:semiHidden/>
    <w:unhideWhenUsed/>
  </w:style>
  <w:style w:type="table" w:styleId="9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media1.sv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общий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Корнилова Дина Сергеевна</dc:creator>
  <cp:lastModifiedBy>boaal@NSO.LOC</cp:lastModifiedBy>
  <cp:revision>30</cp:revision>
  <dcterms:created xsi:type="dcterms:W3CDTF">2023-04-12T08:52:00Z</dcterms:created>
  <dcterms:modified xsi:type="dcterms:W3CDTF">2026-07-06T02:54:32Z</dcterms:modified>
  <cp:version>1048576</cp:version>
</cp:coreProperties>
</file>